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15F6" w:rsidRDefault="00FA15F6">
      <w:pPr>
        <w:pStyle w:val="Standard"/>
        <w:rPr>
          <w:rFonts w:ascii="Arial" w:hAnsi="Arial" w:cs="Times New Roman"/>
          <w:b/>
          <w:color w:val="17365D"/>
          <w:sz w:val="22"/>
          <w:szCs w:val="22"/>
        </w:rPr>
      </w:pPr>
      <w:bookmarkStart w:id="0" w:name="_GoBack"/>
      <w:bookmarkEnd w:id="0"/>
    </w:p>
    <w:tbl>
      <w:tblPr>
        <w:tblW w:w="3060" w:type="dxa"/>
        <w:tblInd w:w="3306" w:type="dxa"/>
        <w:tblLayout w:type="fixed"/>
        <w:tblCellMar>
          <w:left w:w="10" w:type="dxa"/>
          <w:right w:w="10" w:type="dxa"/>
        </w:tblCellMar>
        <w:tblLook w:val="0000" w:firstRow="0" w:lastRow="0" w:firstColumn="0" w:lastColumn="0" w:noHBand="0" w:noVBand="0"/>
      </w:tblPr>
      <w:tblGrid>
        <w:gridCol w:w="1965"/>
        <w:gridCol w:w="1095"/>
      </w:tblGrid>
      <w:tr w:rsidR="00FA15F6">
        <w:tblPrEx>
          <w:tblCellMar>
            <w:top w:w="0" w:type="dxa"/>
            <w:bottom w:w="0" w:type="dxa"/>
          </w:tblCellMar>
        </w:tblPrEx>
        <w:tc>
          <w:tcPr>
            <w:tcW w:w="196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A15F6" w:rsidRDefault="00BA7507">
            <w:pPr>
              <w:pStyle w:val="TableContents"/>
              <w:jc w:val="center"/>
              <w:rPr>
                <w:rFonts w:ascii="Arial" w:hAnsi="Arial"/>
                <w:b/>
                <w:bCs/>
                <w:i/>
                <w:iCs/>
                <w:sz w:val="22"/>
                <w:szCs w:val="22"/>
              </w:rPr>
            </w:pPr>
            <w:r>
              <w:rPr>
                <w:rFonts w:ascii="Arial" w:hAnsi="Arial"/>
                <w:b/>
                <w:bCs/>
                <w:i/>
                <w:iCs/>
                <w:sz w:val="22"/>
                <w:szCs w:val="22"/>
              </w:rPr>
              <w:t>PROPOSAL</w:t>
            </w:r>
          </w:p>
        </w:tc>
        <w:tc>
          <w:tcPr>
            <w:tcW w:w="109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15F6" w:rsidRDefault="00FA15F6">
            <w:pPr>
              <w:pStyle w:val="TableContents"/>
              <w:jc w:val="center"/>
              <w:rPr>
                <w:rFonts w:ascii="Arial" w:hAnsi="Arial"/>
                <w:b/>
                <w:bCs/>
                <w:i/>
                <w:iCs/>
                <w:sz w:val="22"/>
                <w:szCs w:val="22"/>
              </w:rPr>
            </w:pPr>
          </w:p>
        </w:tc>
      </w:tr>
      <w:tr w:rsidR="00FA15F6">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rsidR="00FA15F6" w:rsidRDefault="00BA7507">
            <w:pPr>
              <w:pStyle w:val="TableContents"/>
              <w:jc w:val="center"/>
              <w:rPr>
                <w:rFonts w:ascii="Arial" w:hAnsi="Arial"/>
                <w:b/>
                <w:bCs/>
                <w:i/>
                <w:iCs/>
                <w:sz w:val="22"/>
                <w:szCs w:val="22"/>
              </w:rPr>
            </w:pPr>
            <w:r>
              <w:rPr>
                <w:rFonts w:ascii="Arial" w:hAnsi="Arial"/>
                <w:b/>
                <w:bCs/>
                <w:i/>
                <w:iCs/>
                <w:sz w:val="22"/>
                <w:szCs w:val="22"/>
              </w:rPr>
              <w:t>INVOICE</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15F6" w:rsidRDefault="00BA7507">
            <w:pPr>
              <w:pStyle w:val="TableContents"/>
              <w:jc w:val="center"/>
              <w:rPr>
                <w:rFonts w:ascii="Arial" w:hAnsi="Arial"/>
                <w:b/>
                <w:bCs/>
                <w:i/>
                <w:iCs/>
                <w:sz w:val="22"/>
                <w:szCs w:val="22"/>
              </w:rPr>
            </w:pPr>
            <w:r>
              <w:rPr>
                <w:rFonts w:ascii="Arial" w:hAnsi="Arial"/>
                <w:b/>
                <w:bCs/>
                <w:i/>
                <w:iCs/>
                <w:sz w:val="22"/>
                <w:szCs w:val="22"/>
              </w:rPr>
              <w:t>X</w:t>
            </w:r>
          </w:p>
        </w:tc>
      </w:tr>
      <w:tr w:rsidR="00FA15F6">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rsidR="00FA15F6" w:rsidRDefault="00BA7507">
            <w:pPr>
              <w:pStyle w:val="TableContents"/>
              <w:jc w:val="center"/>
              <w:rPr>
                <w:rFonts w:ascii="Arial" w:hAnsi="Arial"/>
                <w:b/>
                <w:bCs/>
                <w:i/>
                <w:iCs/>
                <w:sz w:val="22"/>
                <w:szCs w:val="22"/>
              </w:rPr>
            </w:pPr>
            <w:r>
              <w:rPr>
                <w:rFonts w:ascii="Arial" w:hAnsi="Arial"/>
                <w:b/>
                <w:bCs/>
                <w:i/>
                <w:iCs/>
                <w:sz w:val="22"/>
                <w:szCs w:val="22"/>
              </w:rPr>
              <w:t>DIAGNOSTIC</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A15F6" w:rsidRDefault="00FA15F6">
            <w:pPr>
              <w:pStyle w:val="TableContents"/>
              <w:jc w:val="center"/>
              <w:rPr>
                <w:rFonts w:ascii="Arial" w:hAnsi="Arial"/>
                <w:b/>
                <w:bCs/>
                <w:i/>
                <w:iCs/>
                <w:sz w:val="22"/>
                <w:szCs w:val="22"/>
              </w:rPr>
            </w:pPr>
          </w:p>
        </w:tc>
      </w:tr>
    </w:tbl>
    <w:p w:rsidR="00FA15F6" w:rsidRDefault="00FA15F6">
      <w:pPr>
        <w:pStyle w:val="Standard"/>
        <w:rPr>
          <w:rFonts w:ascii="Arial" w:hAnsi="Arial" w:cs="Times New Roman"/>
          <w:b/>
          <w:i/>
          <w:iCs/>
          <w:color w:val="17365D"/>
          <w:sz w:val="22"/>
          <w:szCs w:val="22"/>
        </w:rPr>
      </w:pPr>
    </w:p>
    <w:p w:rsidR="00FA15F6" w:rsidRDefault="00BA7507">
      <w:pPr>
        <w:pStyle w:val="Standard"/>
        <w:rPr>
          <w:rFonts w:ascii="Arial" w:hAnsi="Arial"/>
          <w:sz w:val="22"/>
          <w:szCs w:val="22"/>
        </w:rPr>
      </w:pPr>
      <w:r>
        <w:rPr>
          <w:rFonts w:ascii="Arial" w:hAnsi="Arial" w:cs="Times New Roman"/>
          <w:b/>
          <w:i/>
          <w:iCs/>
          <w:color w:val="17365D"/>
          <w:sz w:val="22"/>
          <w:szCs w:val="22"/>
        </w:rPr>
        <w:t>Today's Date: 4/5/2021</w:t>
      </w:r>
      <w:r>
        <w:rPr>
          <w:rFonts w:ascii="Arial" w:hAnsi="Arial" w:cs="Times New Roman"/>
          <w:b/>
          <w:color w:val="548DD4"/>
          <w:sz w:val="22"/>
          <w:szCs w:val="22"/>
        </w:rPr>
        <w:tab/>
      </w:r>
    </w:p>
    <w:p w:rsidR="00FA15F6" w:rsidRDefault="00BA7507">
      <w:pPr>
        <w:pStyle w:val="Standard"/>
        <w:ind w:left="1440" w:firstLine="720"/>
        <w:rPr>
          <w:rFonts w:cs="Times New Roman"/>
          <w:b/>
          <w:color w:val="548DD4"/>
        </w:rPr>
      </w:pPr>
      <w:r>
        <w:rPr>
          <w:rFonts w:cs="Times New Roman"/>
          <w:b/>
          <w:color w:val="548DD4"/>
        </w:rPr>
        <w:tab/>
      </w:r>
      <w:r>
        <w:rPr>
          <w:rFonts w:cs="Times New Roman"/>
          <w:b/>
          <w:color w:val="548DD4"/>
        </w:rPr>
        <w:tab/>
      </w:r>
    </w:p>
    <w:p w:rsidR="00FA15F6" w:rsidRDefault="00BA7507">
      <w:pPr>
        <w:pStyle w:val="Standard"/>
      </w:pPr>
      <w:r>
        <w:rPr>
          <w:rFonts w:ascii="Arial" w:hAnsi="Arial" w:cs="Times New Roman"/>
          <w:b/>
          <w:i/>
          <w:iCs/>
          <w:color w:val="17365D"/>
          <w:sz w:val="22"/>
          <w:szCs w:val="22"/>
          <w:u w:val="single"/>
        </w:rPr>
        <w:t>Customer Name: Joe Bayne</w:t>
      </w:r>
      <w:r>
        <w:rPr>
          <w:rFonts w:ascii="Arial" w:hAnsi="Arial" w:cs="Times New Roman"/>
          <w:b/>
          <w:color w:val="17365D"/>
          <w:sz w:val="22"/>
          <w:szCs w:val="22"/>
        </w:rPr>
        <w:tab/>
      </w:r>
      <w:r>
        <w:rPr>
          <w:rFonts w:ascii="Arial" w:hAnsi="Arial" w:cs="Times New Roman"/>
          <w:b/>
          <w:color w:val="17365D"/>
          <w:sz w:val="22"/>
          <w:szCs w:val="22"/>
        </w:rPr>
        <w:tab/>
      </w:r>
    </w:p>
    <w:p w:rsidR="00FA15F6" w:rsidRDefault="00BA7507">
      <w:pPr>
        <w:pStyle w:val="Standard"/>
        <w:rPr>
          <w:rFonts w:ascii="Arial" w:hAnsi="Arial" w:cs="Times New Roman"/>
          <w:b/>
          <w:color w:val="17365D"/>
          <w:sz w:val="22"/>
          <w:szCs w:val="22"/>
        </w:rPr>
      </w:pP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p>
    <w:tbl>
      <w:tblPr>
        <w:tblW w:w="9915" w:type="dxa"/>
        <w:tblLayout w:type="fixed"/>
        <w:tblCellMar>
          <w:left w:w="10" w:type="dxa"/>
          <w:right w:w="10" w:type="dxa"/>
        </w:tblCellMar>
        <w:tblLook w:val="0000" w:firstRow="0" w:lastRow="0" w:firstColumn="0" w:lastColumn="0" w:noHBand="0" w:noVBand="0"/>
      </w:tblPr>
      <w:tblGrid>
        <w:gridCol w:w="2057"/>
        <w:gridCol w:w="2908"/>
        <w:gridCol w:w="4950"/>
      </w:tblGrid>
      <w:tr w:rsidR="00FA15F6">
        <w:tblPrEx>
          <w:tblCellMar>
            <w:top w:w="0" w:type="dxa"/>
            <w:bottom w:w="0" w:type="dxa"/>
          </w:tblCellMar>
        </w:tblPrEx>
        <w:tc>
          <w:tcPr>
            <w:tcW w:w="2057" w:type="dxa"/>
            <w:tcBorders>
              <w:top w:val="single" w:sz="2" w:space="0" w:color="000000"/>
              <w:left w:val="single" w:sz="2" w:space="0" w:color="000000"/>
              <w:bottom w:val="single" w:sz="2" w:space="0" w:color="000000"/>
            </w:tcBorders>
            <w:tcMar>
              <w:top w:w="55" w:type="dxa"/>
              <w:left w:w="55" w:type="dxa"/>
              <w:bottom w:w="55" w:type="dxa"/>
              <w:right w:w="55" w:type="dxa"/>
            </w:tcMar>
          </w:tcPr>
          <w:p w:rsidR="00FA15F6" w:rsidRDefault="00BA7507">
            <w:pPr>
              <w:pStyle w:val="TableContents"/>
              <w:rPr>
                <w:b/>
                <w:bCs/>
              </w:rPr>
            </w:pPr>
            <w:r>
              <w:rPr>
                <w:b/>
                <w:bCs/>
              </w:rPr>
              <w:t>CSS/INVOICE#</w:t>
            </w:r>
          </w:p>
          <w:p w:rsidR="00FA15F6" w:rsidRDefault="00BA7507">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CSS#27683</w:t>
            </w:r>
          </w:p>
        </w:tc>
        <w:tc>
          <w:tcPr>
            <w:tcW w:w="2908" w:type="dxa"/>
            <w:tcBorders>
              <w:top w:val="single" w:sz="2" w:space="0" w:color="000000"/>
              <w:left w:val="single" w:sz="2" w:space="0" w:color="000000"/>
              <w:bottom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DATE(S) OF SERVICE</w:t>
            </w:r>
          </w:p>
          <w:p w:rsidR="00FA15F6" w:rsidRDefault="00FA15F6">
            <w:pPr>
              <w:pStyle w:val="TableContents"/>
              <w:rPr>
                <w:b/>
                <w:bCs/>
                <w:sz w:val="22"/>
                <w:szCs w:val="22"/>
              </w:rPr>
            </w:pPr>
          </w:p>
        </w:tc>
        <w:tc>
          <w:tcPr>
            <w:tcW w:w="495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LOCATION</w:t>
            </w:r>
          </w:p>
          <w:p w:rsidR="00FA15F6" w:rsidRDefault="00BA7507">
            <w:pPr>
              <w:pStyle w:val="TableContents"/>
              <w:rPr>
                <w:b/>
                <w:bCs/>
                <w:sz w:val="22"/>
                <w:szCs w:val="22"/>
              </w:rPr>
            </w:pPr>
            <w:r>
              <w:rPr>
                <w:b/>
                <w:bCs/>
                <w:sz w:val="22"/>
                <w:szCs w:val="22"/>
              </w:rPr>
              <w:t xml:space="preserve">Fort Wadsworth </w:t>
            </w:r>
            <w:proofErr w:type="spellStart"/>
            <w:r>
              <w:rPr>
                <w:b/>
                <w:bCs/>
                <w:sz w:val="22"/>
                <w:szCs w:val="22"/>
              </w:rPr>
              <w:t>Bldg</w:t>
            </w:r>
            <w:proofErr w:type="spellEnd"/>
            <w:r>
              <w:rPr>
                <w:b/>
                <w:bCs/>
                <w:sz w:val="22"/>
                <w:szCs w:val="22"/>
              </w:rPr>
              <w:t xml:space="preserve"> 358</w:t>
            </w:r>
          </w:p>
        </w:tc>
      </w:tr>
    </w:tbl>
    <w:p w:rsidR="00FA15F6" w:rsidRDefault="00FA15F6">
      <w:pPr>
        <w:pStyle w:val="Standard"/>
        <w:rPr>
          <w:rFonts w:ascii="Calibri, Calibri" w:eastAsia="Calibri, Calibri" w:hAnsi="Calibri, Calibri" w:cs="Calibri, Calibri"/>
          <w:color w:val="000000"/>
          <w:sz w:val="22"/>
          <w:szCs w:val="22"/>
          <w:shd w:val="clear" w:color="auto" w:fill="FFFFFF"/>
        </w:rPr>
      </w:pPr>
    </w:p>
    <w:tbl>
      <w:tblPr>
        <w:tblW w:w="9975" w:type="dxa"/>
        <w:tblLayout w:type="fixed"/>
        <w:tblCellMar>
          <w:left w:w="10" w:type="dxa"/>
          <w:right w:w="10" w:type="dxa"/>
        </w:tblCellMar>
        <w:tblLook w:val="0000" w:firstRow="0" w:lastRow="0" w:firstColumn="0" w:lastColumn="0" w:noHBand="0" w:noVBand="0"/>
      </w:tblPr>
      <w:tblGrid>
        <w:gridCol w:w="7109"/>
        <w:gridCol w:w="2866"/>
      </w:tblGrid>
      <w:tr w:rsidR="00FA15F6">
        <w:tblPrEx>
          <w:tblCellMar>
            <w:top w:w="0" w:type="dxa"/>
            <w:bottom w:w="0" w:type="dxa"/>
          </w:tblCellMar>
        </w:tblPrEx>
        <w:tc>
          <w:tcPr>
            <w:tcW w:w="9975"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 xml:space="preserve">JOB </w:t>
            </w:r>
            <w:r>
              <w:rPr>
                <w:b/>
                <w:bCs/>
                <w:sz w:val="22"/>
                <w:szCs w:val="22"/>
              </w:rPr>
              <w:t>DESCRIPTION</w:t>
            </w:r>
          </w:p>
          <w:p w:rsidR="00FA15F6" w:rsidRDefault="00BA7507">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 xml:space="preserve">removing violations from boiler inspection in order to pass state inspection. Completely re-pipe both safety relief valves on both hydronic type </w:t>
            </w:r>
            <w:proofErr w:type="spellStart"/>
            <w:r>
              <w:rPr>
                <w:rFonts w:ascii="Calibri, Calibri" w:eastAsia="Calibri, Calibri" w:hAnsi="Calibri, Calibri" w:cs="Calibri, Calibri"/>
                <w:color w:val="000000"/>
                <w:sz w:val="22"/>
                <w:szCs w:val="22"/>
                <w:shd w:val="clear" w:color="auto" w:fill="FFFFFF"/>
              </w:rPr>
              <w:t>Lockinvar</w:t>
            </w:r>
            <w:proofErr w:type="spellEnd"/>
            <w:r>
              <w:rPr>
                <w:rFonts w:ascii="Calibri, Calibri" w:eastAsia="Calibri, Calibri" w:hAnsi="Calibri, Calibri" w:cs="Calibri, Calibri"/>
                <w:color w:val="000000"/>
                <w:sz w:val="22"/>
                <w:szCs w:val="22"/>
                <w:shd w:val="clear" w:color="auto" w:fill="FFFFFF"/>
              </w:rPr>
              <w:t xml:space="preserve"> boiler. Both safety relief valves are mounted on a horizontal location. Must </w:t>
            </w:r>
            <w:proofErr w:type="spellStart"/>
            <w:r>
              <w:rPr>
                <w:rFonts w:ascii="Calibri, Calibri" w:eastAsia="Calibri, Calibri" w:hAnsi="Calibri, Calibri" w:cs="Calibri, Calibri"/>
                <w:color w:val="000000"/>
                <w:sz w:val="22"/>
                <w:szCs w:val="22"/>
                <w:shd w:val="clear" w:color="auto" w:fill="FFFFFF"/>
              </w:rPr>
              <w:t>repipe</w:t>
            </w:r>
            <w:proofErr w:type="spellEnd"/>
            <w:r>
              <w:rPr>
                <w:rFonts w:ascii="Calibri, Calibri" w:eastAsia="Calibri, Calibri" w:hAnsi="Calibri, Calibri" w:cs="Calibri, Calibri"/>
                <w:color w:val="000000"/>
                <w:sz w:val="22"/>
                <w:szCs w:val="22"/>
                <w:shd w:val="clear" w:color="auto" w:fill="FFFFFF"/>
              </w:rPr>
              <w:t xml:space="preserve"> safet</w:t>
            </w:r>
            <w:r>
              <w:rPr>
                <w:rFonts w:ascii="Calibri, Calibri" w:eastAsia="Calibri, Calibri" w:hAnsi="Calibri, Calibri" w:cs="Calibri, Calibri"/>
                <w:color w:val="000000"/>
                <w:sz w:val="22"/>
                <w:szCs w:val="22"/>
                <w:shd w:val="clear" w:color="auto" w:fill="FFFFFF"/>
              </w:rPr>
              <w:t>y pressure relief valves on vertical. Existing location can cause sediment to enter safety relief valve and cause relief valve not to function properly. As far as service disconnect on boiler to be able to properly isolate and shut down boiler, there is an</w:t>
            </w:r>
            <w:r>
              <w:rPr>
                <w:rFonts w:ascii="Calibri, Calibri" w:eastAsia="Calibri, Calibri" w:hAnsi="Calibri, Calibri" w:cs="Calibri, Calibri"/>
                <w:color w:val="000000"/>
                <w:sz w:val="22"/>
                <w:szCs w:val="22"/>
                <w:shd w:val="clear" w:color="auto" w:fill="FFFFFF"/>
              </w:rPr>
              <w:t xml:space="preserve"> isolation safety switch provided by manufacturer located on boiler. This will properly </w:t>
            </w:r>
            <w:proofErr w:type="gramStart"/>
            <w:r>
              <w:rPr>
                <w:rFonts w:ascii="Calibri, Calibri" w:eastAsia="Calibri, Calibri" w:hAnsi="Calibri, Calibri" w:cs="Calibri, Calibri"/>
                <w:color w:val="000000"/>
                <w:sz w:val="22"/>
                <w:szCs w:val="22"/>
                <w:shd w:val="clear" w:color="auto" w:fill="FFFFFF"/>
              </w:rPr>
              <w:t>marked</w:t>
            </w:r>
            <w:proofErr w:type="gramEnd"/>
            <w:r>
              <w:rPr>
                <w:rFonts w:ascii="Calibri, Calibri" w:eastAsia="Calibri, Calibri" w:hAnsi="Calibri, Calibri" w:cs="Calibri, Calibri"/>
                <w:color w:val="000000"/>
                <w:sz w:val="22"/>
                <w:szCs w:val="22"/>
                <w:shd w:val="clear" w:color="auto" w:fill="FFFFFF"/>
              </w:rPr>
              <w:t xml:space="preserve"> to show location of this existing switch.</w:t>
            </w:r>
          </w:p>
          <w:p w:rsidR="00FA15F6" w:rsidRDefault="00BA7507">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Isolate existing direct vented boiler. Draining down all glycol after isolation of system in order to remove safety pr</w:t>
            </w:r>
            <w:r>
              <w:rPr>
                <w:rFonts w:ascii="Calibri, Calibri" w:eastAsia="Calibri, Calibri" w:hAnsi="Calibri, Calibri" w:cs="Calibri, Calibri"/>
                <w:color w:val="000000"/>
                <w:sz w:val="22"/>
                <w:szCs w:val="22"/>
                <w:shd w:val="clear" w:color="auto" w:fill="FFFFFF"/>
              </w:rPr>
              <w:t>essure relief valve, completely re-pipe to install one relief valve in vertical location. Pump in new glycol (</w:t>
            </w:r>
            <w:proofErr w:type="spellStart"/>
            <w:r>
              <w:rPr>
                <w:rFonts w:ascii="Calibri, Calibri" w:eastAsia="Calibri, Calibri" w:hAnsi="Calibri, Calibri" w:cs="Calibri, Calibri"/>
                <w:color w:val="000000"/>
                <w:sz w:val="22"/>
                <w:szCs w:val="22"/>
                <w:shd w:val="clear" w:color="auto" w:fill="FFFFFF"/>
              </w:rPr>
              <w:t>non toxic</w:t>
            </w:r>
            <w:proofErr w:type="spellEnd"/>
            <w:r>
              <w:rPr>
                <w:rFonts w:ascii="Calibri, Calibri" w:eastAsia="Calibri, Calibri" w:hAnsi="Calibri, Calibri" w:cs="Calibri, Calibri"/>
                <w:color w:val="000000"/>
                <w:sz w:val="22"/>
                <w:szCs w:val="22"/>
                <w:shd w:val="clear" w:color="auto" w:fill="FFFFFF"/>
              </w:rPr>
              <w:t>) to fill up boiler, remove all air out of boiler before opening up to main system.</w:t>
            </w:r>
          </w:p>
        </w:tc>
      </w:tr>
      <w:tr w:rsidR="00FA15F6">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PARTS</w:t>
            </w:r>
          </w:p>
          <w:p w:rsidR="00FA15F6" w:rsidRDefault="00BA7507">
            <w:pPr>
              <w:pStyle w:val="TableContents"/>
              <w:rPr>
                <w:sz w:val="22"/>
                <w:szCs w:val="22"/>
              </w:rPr>
            </w:pPr>
            <w:r>
              <w:rPr>
                <w:sz w:val="22"/>
                <w:szCs w:val="22"/>
              </w:rPr>
              <w:t xml:space="preserve">1 ¾ x </w:t>
            </w:r>
            <w:proofErr w:type="gramStart"/>
            <w:r>
              <w:rPr>
                <w:sz w:val="22"/>
                <w:szCs w:val="22"/>
              </w:rPr>
              <w:t>6 inch</w:t>
            </w:r>
            <w:proofErr w:type="gramEnd"/>
            <w:r>
              <w:rPr>
                <w:sz w:val="22"/>
                <w:szCs w:val="22"/>
              </w:rPr>
              <w:t xml:space="preserve"> black schedule 40 nipples</w:t>
            </w:r>
          </w:p>
          <w:p w:rsidR="00FA15F6" w:rsidRDefault="00BA7507">
            <w:pPr>
              <w:pStyle w:val="TableContents"/>
              <w:rPr>
                <w:sz w:val="22"/>
                <w:szCs w:val="22"/>
              </w:rPr>
            </w:pPr>
            <w:r>
              <w:rPr>
                <w:sz w:val="22"/>
                <w:szCs w:val="22"/>
              </w:rPr>
              <w:t>1 ¾ bl</w:t>
            </w:r>
            <w:r>
              <w:rPr>
                <w:sz w:val="22"/>
                <w:szCs w:val="22"/>
              </w:rPr>
              <w:t>ack MAL-90 degree elbows</w:t>
            </w:r>
          </w:p>
          <w:p w:rsidR="00FA15F6" w:rsidRDefault="00BA7507">
            <w:pPr>
              <w:pStyle w:val="TableContents"/>
              <w:rPr>
                <w:sz w:val="22"/>
                <w:szCs w:val="22"/>
              </w:rPr>
            </w:pPr>
            <w:r>
              <w:rPr>
                <w:sz w:val="22"/>
                <w:szCs w:val="22"/>
              </w:rPr>
              <w:t xml:space="preserve">1 ¾ x </w:t>
            </w:r>
            <w:proofErr w:type="gramStart"/>
            <w:r>
              <w:rPr>
                <w:sz w:val="22"/>
                <w:szCs w:val="22"/>
              </w:rPr>
              <w:t>16 inch</w:t>
            </w:r>
            <w:proofErr w:type="gramEnd"/>
            <w:r>
              <w:rPr>
                <w:sz w:val="22"/>
                <w:szCs w:val="22"/>
              </w:rPr>
              <w:t xml:space="preserve"> black schedule 40 pipe</w:t>
            </w:r>
          </w:p>
          <w:p w:rsidR="00FA15F6" w:rsidRDefault="00BA7507">
            <w:pPr>
              <w:pStyle w:val="TableContents"/>
              <w:rPr>
                <w:sz w:val="22"/>
                <w:szCs w:val="22"/>
              </w:rPr>
            </w:pPr>
            <w:r>
              <w:rPr>
                <w:sz w:val="22"/>
                <w:szCs w:val="22"/>
              </w:rPr>
              <w:t>1 ¾ black couplings</w:t>
            </w:r>
          </w:p>
          <w:p w:rsidR="00FA15F6" w:rsidRDefault="00BA7507">
            <w:pPr>
              <w:pStyle w:val="TableContents"/>
              <w:rPr>
                <w:sz w:val="22"/>
                <w:szCs w:val="22"/>
              </w:rPr>
            </w:pPr>
            <w:r>
              <w:rPr>
                <w:sz w:val="22"/>
                <w:szCs w:val="22"/>
              </w:rPr>
              <w:t>1 container of leak lock solvent</w:t>
            </w:r>
          </w:p>
          <w:p w:rsidR="00FA15F6" w:rsidRDefault="00BA7507">
            <w:pPr>
              <w:pStyle w:val="TableContents"/>
              <w:rPr>
                <w:sz w:val="22"/>
                <w:szCs w:val="22"/>
              </w:rPr>
            </w:pPr>
            <w:r>
              <w:rPr>
                <w:sz w:val="22"/>
                <w:szCs w:val="22"/>
              </w:rPr>
              <w:t xml:space="preserve">1 gallon of </w:t>
            </w:r>
            <w:proofErr w:type="spellStart"/>
            <w:r>
              <w:rPr>
                <w:sz w:val="22"/>
                <w:szCs w:val="22"/>
              </w:rPr>
              <w:t>non toxic</w:t>
            </w:r>
            <w:proofErr w:type="spellEnd"/>
            <w:r>
              <w:rPr>
                <w:sz w:val="22"/>
                <w:szCs w:val="22"/>
              </w:rPr>
              <w:t xml:space="preserve"> antifreeze</w:t>
            </w: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COST</w:t>
            </w:r>
          </w:p>
          <w:p w:rsidR="00FA15F6" w:rsidRDefault="00FA15F6">
            <w:pPr>
              <w:pStyle w:val="TableContents"/>
              <w:rPr>
                <w:sz w:val="22"/>
                <w:szCs w:val="22"/>
              </w:rPr>
            </w:pPr>
          </w:p>
          <w:p w:rsidR="00FA15F6" w:rsidRDefault="00FA15F6">
            <w:pPr>
              <w:pStyle w:val="TableContents"/>
              <w:rPr>
                <w:sz w:val="22"/>
                <w:szCs w:val="22"/>
              </w:rPr>
            </w:pPr>
          </w:p>
          <w:p w:rsidR="00FA15F6" w:rsidRDefault="00FA15F6">
            <w:pPr>
              <w:pStyle w:val="TableContents"/>
              <w:rPr>
                <w:sz w:val="22"/>
                <w:szCs w:val="22"/>
              </w:rPr>
            </w:pPr>
          </w:p>
          <w:p w:rsidR="00FA15F6" w:rsidRDefault="00FA15F6">
            <w:pPr>
              <w:pStyle w:val="TableContents"/>
              <w:rPr>
                <w:sz w:val="22"/>
                <w:szCs w:val="22"/>
              </w:rPr>
            </w:pPr>
          </w:p>
          <w:p w:rsidR="00FA15F6" w:rsidRDefault="00FA15F6">
            <w:pPr>
              <w:pStyle w:val="TableContents"/>
              <w:rPr>
                <w:sz w:val="22"/>
                <w:szCs w:val="22"/>
              </w:rPr>
            </w:pPr>
          </w:p>
          <w:p w:rsidR="00FA15F6" w:rsidRDefault="00BA7507">
            <w:pPr>
              <w:pStyle w:val="TableContents"/>
              <w:rPr>
                <w:sz w:val="22"/>
                <w:szCs w:val="22"/>
              </w:rPr>
            </w:pPr>
            <w:r>
              <w:rPr>
                <w:sz w:val="22"/>
                <w:szCs w:val="22"/>
              </w:rPr>
              <w:t>TOTAL $468.00</w:t>
            </w:r>
          </w:p>
        </w:tc>
      </w:tr>
      <w:tr w:rsidR="00FA15F6">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LABOR</w:t>
            </w:r>
          </w:p>
          <w:p w:rsidR="00FA15F6" w:rsidRDefault="00FA15F6">
            <w:pPr>
              <w:pStyle w:val="Standard"/>
              <w:rPr>
                <w:rFonts w:ascii="Calibri, Calibri" w:eastAsia="Calibri, Calibri" w:hAnsi="Calibri, Calibri" w:cs="Calibri, Calibri"/>
                <w:color w:val="000000"/>
                <w:sz w:val="22"/>
                <w:szCs w:val="22"/>
              </w:rPr>
            </w:pPr>
          </w:p>
          <w:p w:rsidR="00FA15F6" w:rsidRDefault="00BA7507">
            <w:pPr>
              <w:pStyle w:val="Standard"/>
              <w:rPr>
                <w:rFonts w:ascii="Calibri, Calibri" w:eastAsia="Calibri, Calibri" w:hAnsi="Calibri, Calibri" w:cs="Calibri, Calibri"/>
                <w:color w:val="000000"/>
                <w:sz w:val="22"/>
                <w:szCs w:val="22"/>
              </w:rPr>
            </w:pPr>
            <w:r>
              <w:rPr>
                <w:rFonts w:ascii="Calibri, Calibri" w:eastAsia="Calibri, Calibri" w:hAnsi="Calibri, Calibri" w:cs="Calibri, Calibri"/>
                <w:color w:val="000000"/>
                <w:sz w:val="22"/>
                <w:szCs w:val="22"/>
              </w:rPr>
              <w:t>5 hours 1 mechanic 1 helper</w:t>
            </w:r>
          </w:p>
          <w:p w:rsidR="00FA15F6" w:rsidRDefault="00FA15F6">
            <w:pPr>
              <w:pStyle w:val="TableContents"/>
              <w:rPr>
                <w:b/>
                <w:bCs/>
                <w:sz w:val="22"/>
                <w:szCs w:val="22"/>
              </w:rPr>
            </w:pP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COST</w:t>
            </w:r>
          </w:p>
          <w:p w:rsidR="00FA15F6" w:rsidRDefault="00FA15F6">
            <w:pPr>
              <w:pStyle w:val="TableContents"/>
              <w:rPr>
                <w:sz w:val="22"/>
                <w:szCs w:val="22"/>
              </w:rPr>
            </w:pPr>
          </w:p>
          <w:p w:rsidR="00FA15F6" w:rsidRDefault="00BA7507">
            <w:pPr>
              <w:pStyle w:val="TableContents"/>
              <w:rPr>
                <w:sz w:val="22"/>
                <w:szCs w:val="22"/>
              </w:rPr>
            </w:pPr>
            <w:r>
              <w:rPr>
                <w:sz w:val="22"/>
                <w:szCs w:val="22"/>
              </w:rPr>
              <w:t>$700.00</w:t>
            </w:r>
          </w:p>
        </w:tc>
      </w:tr>
      <w:tr w:rsidR="00FA15F6">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TAX</w:t>
            </w: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FA15F6" w:rsidRDefault="00FA15F6">
            <w:pPr>
              <w:pStyle w:val="TableContents"/>
              <w:rPr>
                <w:b/>
                <w:bCs/>
                <w:sz w:val="22"/>
                <w:szCs w:val="22"/>
              </w:rPr>
            </w:pPr>
          </w:p>
        </w:tc>
      </w:tr>
      <w:tr w:rsidR="00FA15F6">
        <w:tblPrEx>
          <w:tblCellMar>
            <w:top w:w="0" w:type="dxa"/>
            <w:bottom w:w="0" w:type="dxa"/>
          </w:tblCellMar>
        </w:tblPrEx>
        <w:tc>
          <w:tcPr>
            <w:tcW w:w="7109" w:type="dxa"/>
            <w:tcBorders>
              <w:left w:val="single" w:sz="2" w:space="0" w:color="000000"/>
              <w:bottom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TOTAL</w:t>
            </w:r>
          </w:p>
        </w:tc>
        <w:tc>
          <w:tcPr>
            <w:tcW w:w="2866" w:type="dxa"/>
            <w:tcBorders>
              <w:left w:val="single" w:sz="2" w:space="0" w:color="000000"/>
              <w:bottom w:val="single" w:sz="2" w:space="0" w:color="000000"/>
              <w:right w:val="single" w:sz="2" w:space="0" w:color="000000"/>
            </w:tcBorders>
            <w:tcMar>
              <w:top w:w="55" w:type="dxa"/>
              <w:left w:w="55" w:type="dxa"/>
              <w:bottom w:w="55" w:type="dxa"/>
              <w:right w:w="55" w:type="dxa"/>
            </w:tcMar>
          </w:tcPr>
          <w:p w:rsidR="00FA15F6" w:rsidRDefault="00BA7507">
            <w:pPr>
              <w:pStyle w:val="TableContents"/>
              <w:rPr>
                <w:b/>
                <w:bCs/>
                <w:sz w:val="22"/>
                <w:szCs w:val="22"/>
              </w:rPr>
            </w:pPr>
            <w:r>
              <w:rPr>
                <w:b/>
                <w:bCs/>
                <w:sz w:val="22"/>
                <w:szCs w:val="22"/>
              </w:rPr>
              <w:t>$1,168.00</w:t>
            </w:r>
          </w:p>
        </w:tc>
      </w:tr>
    </w:tbl>
    <w:p w:rsidR="00FA15F6" w:rsidRDefault="00FA15F6">
      <w:pPr>
        <w:pStyle w:val="Standard"/>
      </w:pPr>
    </w:p>
    <w:p w:rsidR="00FA15F6" w:rsidRDefault="00FA15F6">
      <w:pPr>
        <w:pStyle w:val="Standard"/>
      </w:pPr>
    </w:p>
    <w:p w:rsidR="00FA15F6" w:rsidRDefault="00FA15F6">
      <w:pPr>
        <w:pStyle w:val="Standard"/>
        <w:jc w:val="center"/>
      </w:pPr>
    </w:p>
    <w:sectPr w:rsidR="00FA15F6">
      <w:headerReference w:type="default" r:id="rId6"/>
      <w:footerReference w:type="default" r:id="rId7"/>
      <w:pgSz w:w="12240" w:h="15840"/>
      <w:pgMar w:top="792" w:right="1134" w:bottom="79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7507" w:rsidRDefault="00BA7507">
      <w:r>
        <w:separator/>
      </w:r>
    </w:p>
  </w:endnote>
  <w:endnote w:type="continuationSeparator" w:id="0">
    <w:p w:rsidR="00BA7507" w:rsidRDefault="00BA7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Calibri">
    <w:altName w:val="Arial"/>
    <w:charset w:val="00"/>
    <w:family w:val="swiss"/>
    <w:pitch w:val="default"/>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2F0E" w:rsidRDefault="00BA7507">
    <w:pPr>
      <w:pStyle w:val="Standard"/>
      <w:jc w:val="center"/>
    </w:pPr>
    <w:r>
      <w:t>Thank you for your business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7507" w:rsidRDefault="00BA7507">
      <w:r>
        <w:rPr>
          <w:color w:val="000000"/>
        </w:rPr>
        <w:separator/>
      </w:r>
    </w:p>
  </w:footnote>
  <w:footnote w:type="continuationSeparator" w:id="0">
    <w:p w:rsidR="00BA7507" w:rsidRDefault="00BA75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2F0E" w:rsidRDefault="00BA7507">
    <w:pPr>
      <w:pStyle w:val="Standard"/>
      <w:spacing w:before="144"/>
      <w:jc w:val="center"/>
      <w:rPr>
        <w:rFonts w:ascii="Arial" w:hAnsi="Arial" w:cs="Times New Roman"/>
        <w:b/>
        <w:color w:val="17365D"/>
        <w:sz w:val="22"/>
        <w:szCs w:val="22"/>
      </w:rPr>
    </w:pPr>
    <w:r>
      <w:rPr>
        <w:rFonts w:ascii="Arial" w:hAnsi="Arial" w:cs="Times New Roman"/>
        <w:b/>
        <w:color w:val="17365D"/>
        <w:sz w:val="22"/>
        <w:szCs w:val="22"/>
      </w:rPr>
      <w:t>Fahrenheit Inc.</w:t>
    </w:r>
  </w:p>
  <w:p w:rsidR="00132F0E" w:rsidRDefault="00BA7507">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85 </w:t>
    </w:r>
    <w:proofErr w:type="spellStart"/>
    <w:r>
      <w:rPr>
        <w:rFonts w:ascii="Arial" w:hAnsi="Arial" w:cs="Times New Roman"/>
        <w:b/>
        <w:color w:val="17365D"/>
        <w:sz w:val="22"/>
        <w:szCs w:val="22"/>
      </w:rPr>
      <w:t>Farless</w:t>
    </w:r>
    <w:proofErr w:type="spellEnd"/>
    <w:r>
      <w:rPr>
        <w:rFonts w:ascii="Arial" w:hAnsi="Arial" w:cs="Times New Roman"/>
        <w:b/>
        <w:color w:val="17365D"/>
        <w:sz w:val="22"/>
        <w:szCs w:val="22"/>
      </w:rPr>
      <w:t xml:space="preserve"> Avenue</w:t>
    </w:r>
  </w:p>
  <w:p w:rsidR="00132F0E" w:rsidRDefault="00BA7507">
    <w:pPr>
      <w:pStyle w:val="Standard"/>
      <w:jc w:val="center"/>
      <w:rPr>
        <w:rFonts w:ascii="Arial" w:hAnsi="Arial" w:cs="Times New Roman"/>
        <w:b/>
        <w:color w:val="17365D"/>
        <w:sz w:val="22"/>
        <w:szCs w:val="22"/>
      </w:rPr>
    </w:pPr>
    <w:r>
      <w:rPr>
        <w:rFonts w:ascii="Arial" w:hAnsi="Arial" w:cs="Times New Roman"/>
        <w:b/>
        <w:color w:val="17365D"/>
        <w:sz w:val="22"/>
        <w:szCs w:val="22"/>
      </w:rPr>
      <w:t>Old Bridge, New Jersey 08857</w:t>
    </w:r>
  </w:p>
  <w:p w:rsidR="00132F0E" w:rsidRDefault="00BA7507">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Telephone (732) 673- </w:t>
    </w:r>
    <w:r>
      <w:rPr>
        <w:rFonts w:ascii="Arial" w:hAnsi="Arial" w:cs="Times New Roman"/>
        <w:b/>
        <w:color w:val="17365D"/>
        <w:sz w:val="22"/>
        <w:szCs w:val="22"/>
      </w:rPr>
      <w:t xml:space="preserve">9318  E-mail: </w:t>
    </w:r>
    <w:hyperlink r:id="rId1" w:history="1">
      <w:r>
        <w:rPr>
          <w:rFonts w:ascii="Arial" w:hAnsi="Arial" w:cs="Times New Roman"/>
          <w:b/>
          <w:color w:val="17365D"/>
          <w:sz w:val="22"/>
          <w:szCs w:val="22"/>
        </w:rPr>
        <w:t>Celcius60@aol.com</w:t>
      </w:r>
    </w:hyperlink>
  </w:p>
  <w:p w:rsidR="00132F0E" w:rsidRDefault="00BA7507">
    <w:pPr>
      <w:pStyle w:val="Standard"/>
      <w:spacing w:after="144"/>
      <w:rPr>
        <w:rFonts w:ascii="Arial" w:hAnsi="Arial" w:cs="Times New Roman"/>
        <w:b/>
        <w:color w:val="17365D"/>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FA15F6"/>
    <w:rsid w:val="00624E45"/>
    <w:rsid w:val="00A962A0"/>
    <w:rsid w:val="00BA7507"/>
    <w:rsid w:val="00FA1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EA5353-A287-4666-8E21-C9E67928D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Ari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Standard"/>
    <w:pPr>
      <w:suppressLineNumbers/>
      <w:tabs>
        <w:tab w:val="center" w:pos="4986"/>
        <w:tab w:val="right" w:pos="9972"/>
      </w:tabs>
    </w:pPr>
  </w:style>
  <w:style w:type="paragraph" w:styleId="Header">
    <w:name w:val="header"/>
    <w:basedOn w:val="Standard"/>
    <w:pPr>
      <w:suppressLineNumbers/>
      <w:tabs>
        <w:tab w:val="center" w:pos="4986"/>
        <w:tab w:val="right" w:pos="9972"/>
      </w:tabs>
    </w:pPr>
  </w:style>
  <w:style w:type="paragraph" w:customStyle="1" w:styleId="TableHeading">
    <w:name w:val="Table Heading"/>
    <w:basedOn w:val="TableContents"/>
    <w:pPr>
      <w:jc w:val="center"/>
    </w:pPr>
    <w:rPr>
      <w:b/>
      <w:bCs/>
    </w:rPr>
  </w:style>
  <w:style w:type="character" w:customStyle="1" w:styleId="Internetlink">
    <w:name w:val="Internet link"/>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Celcius60@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216</Words>
  <Characters>1235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benedetto</dc:creator>
  <cp:lastModifiedBy>adonis</cp:lastModifiedBy>
  <cp:revision>2</cp:revision>
  <dcterms:created xsi:type="dcterms:W3CDTF">2021-04-07T15:49:00Z</dcterms:created>
  <dcterms:modified xsi:type="dcterms:W3CDTF">2021-04-07T15:49:00Z</dcterms:modified>
</cp:coreProperties>
</file>