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1972F" w14:textId="77777777" w:rsidR="00A95BCC" w:rsidRDefault="00000000">
      <w:pPr>
        <w:pStyle w:val="Standard"/>
      </w:pPr>
      <w:r>
        <w:rPr>
          <w:noProof/>
        </w:rPr>
        <w:drawing>
          <wp:anchor distT="0" distB="0" distL="114300" distR="114300" simplePos="0" relativeHeight="251658240" behindDoc="0" locked="0" layoutInCell="1" allowOverlap="1" wp14:anchorId="672EE623" wp14:editId="0D3FB611">
            <wp:simplePos x="0" y="0"/>
            <wp:positionH relativeFrom="column">
              <wp:posOffset>0</wp:posOffset>
            </wp:positionH>
            <wp:positionV relativeFrom="page">
              <wp:posOffset>0</wp:posOffset>
            </wp:positionV>
            <wp:extent cx="1077163" cy="1000445"/>
            <wp:effectExtent l="0" t="0" r="8687" b="9205"/>
            <wp:wrapSquare wrapText="bothSides"/>
            <wp:docPr id="1718459906" name="Pictur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077163" cy="1000445"/>
                    </a:xfrm>
                    <a:prstGeom prst="rect">
                      <a:avLst/>
                    </a:prstGeom>
                    <a:noFill/>
                    <a:ln>
                      <a:noFill/>
                    </a:ln>
                  </pic:spPr>
                </pic:pic>
              </a:graphicData>
            </a:graphic>
          </wp:anchor>
        </w:drawing>
      </w:r>
      <w:r>
        <w:rPr>
          <w:color w:val="0000FF"/>
        </w:rPr>
        <w:tab/>
      </w:r>
      <w:r>
        <w:rPr>
          <w:color w:val="0000FF"/>
        </w:rPr>
        <w:tab/>
      </w:r>
      <w:r>
        <w:rPr>
          <w:color w:val="0000FF"/>
        </w:rPr>
        <w:tab/>
      </w:r>
    </w:p>
    <w:p w14:paraId="16F1A3AB" w14:textId="77777777" w:rsidR="00A95BCC" w:rsidRDefault="00000000">
      <w:pPr>
        <w:pStyle w:val="Standard"/>
      </w:pPr>
      <w:r>
        <w:rPr>
          <w:color w:val="0000FF"/>
        </w:rPr>
        <w:tab/>
      </w:r>
      <w:r>
        <w:rPr>
          <w:color w:val="0000FF"/>
        </w:rPr>
        <w:tab/>
      </w:r>
      <w:r>
        <w:rPr>
          <w:color w:val="0000FF"/>
        </w:rPr>
        <w:tab/>
      </w:r>
      <w:r>
        <w:rPr>
          <w:color w:val="0000FF"/>
        </w:rPr>
        <w:tab/>
      </w:r>
      <w:r>
        <w:rPr>
          <w:color w:val="0000FF"/>
        </w:rPr>
        <w:tab/>
      </w:r>
      <w:r>
        <w:rPr>
          <w:color w:val="0000FF"/>
        </w:rPr>
        <w:tab/>
      </w:r>
      <w:r>
        <w:rPr>
          <w:color w:val="0000FF"/>
        </w:rPr>
        <w:tab/>
      </w:r>
      <w:r>
        <w:rPr>
          <w:color w:val="0000FF"/>
        </w:rPr>
        <w:tab/>
      </w:r>
      <w:r>
        <w:rPr>
          <w:color w:val="0000FF"/>
        </w:rPr>
        <w:tab/>
      </w:r>
    </w:p>
    <w:p w14:paraId="4F20966F" w14:textId="77777777" w:rsidR="00A95BCC" w:rsidRDefault="00000000">
      <w:pPr>
        <w:pStyle w:val="Standard"/>
        <w:spacing w:after="0" w:line="240" w:lineRule="auto"/>
      </w:pPr>
      <w:r>
        <w:rPr>
          <w:color w:val="548DD4"/>
        </w:rPr>
        <w:t xml:space="preserve">                     </w:t>
      </w:r>
      <w:r>
        <w:rPr>
          <w:color w:val="548DD4"/>
        </w:rPr>
        <w:tab/>
        <w:t xml:space="preserve"> </w:t>
      </w:r>
      <w:r>
        <w:rPr>
          <w:rFonts w:ascii="Times New Roman" w:hAnsi="Times New Roman" w:cs="Times New Roman"/>
          <w:b/>
          <w:color w:val="17365D"/>
          <w:sz w:val="28"/>
          <w:szCs w:val="28"/>
        </w:rPr>
        <w:t>Fahrenheit Incorporated Mechanical Contracting</w:t>
      </w:r>
    </w:p>
    <w:p w14:paraId="30380CD2" w14:textId="77777777" w:rsidR="00A95BCC" w:rsidRDefault="00000000">
      <w:pPr>
        <w:pStyle w:val="Standard"/>
        <w:spacing w:after="0" w:line="240" w:lineRule="auto"/>
      </w:pPr>
      <w:r>
        <w:rPr>
          <w:rFonts w:ascii="Times New Roman" w:hAnsi="Times New Roman" w:cs="Times New Roman"/>
          <w:b/>
          <w:color w:val="17365D"/>
          <w:sz w:val="28"/>
          <w:szCs w:val="28"/>
        </w:rPr>
        <w:tab/>
      </w:r>
      <w:r>
        <w:rPr>
          <w:rFonts w:ascii="Times New Roman" w:hAnsi="Times New Roman" w:cs="Times New Roman"/>
          <w:b/>
          <w:color w:val="17365D"/>
          <w:sz w:val="28"/>
          <w:szCs w:val="28"/>
        </w:rPr>
        <w:tab/>
      </w:r>
      <w:r>
        <w:rPr>
          <w:rFonts w:ascii="Times New Roman" w:hAnsi="Times New Roman" w:cs="Times New Roman"/>
          <w:b/>
          <w:color w:val="17365D"/>
          <w:sz w:val="28"/>
          <w:szCs w:val="28"/>
        </w:rPr>
        <w:tab/>
        <w:t xml:space="preserve">                85 Farless Avenue</w:t>
      </w:r>
    </w:p>
    <w:p w14:paraId="7150AEBA" w14:textId="77777777" w:rsidR="00A95BCC" w:rsidRDefault="00000000">
      <w:pPr>
        <w:pStyle w:val="Standard"/>
        <w:spacing w:after="0" w:line="240" w:lineRule="auto"/>
      </w:pPr>
      <w:r>
        <w:rPr>
          <w:rFonts w:ascii="Times New Roman" w:hAnsi="Times New Roman" w:cs="Times New Roman"/>
          <w:b/>
          <w:color w:val="17365D"/>
          <w:sz w:val="28"/>
          <w:szCs w:val="28"/>
        </w:rPr>
        <w:tab/>
      </w:r>
      <w:r>
        <w:rPr>
          <w:rFonts w:ascii="Times New Roman" w:hAnsi="Times New Roman" w:cs="Times New Roman"/>
          <w:b/>
          <w:color w:val="17365D"/>
          <w:sz w:val="28"/>
          <w:szCs w:val="28"/>
        </w:rPr>
        <w:tab/>
        <w:t xml:space="preserve">                      Telephone (732) 673- 9318</w:t>
      </w:r>
      <w:r>
        <w:rPr>
          <w:rFonts w:ascii="Times New Roman" w:hAnsi="Times New Roman" w:cs="Times New Roman"/>
          <w:b/>
          <w:color w:val="17365D"/>
          <w:sz w:val="28"/>
          <w:szCs w:val="28"/>
        </w:rPr>
        <w:tab/>
        <w:t xml:space="preserve">   </w:t>
      </w:r>
      <w:r>
        <w:rPr>
          <w:rFonts w:ascii="Times New Roman" w:hAnsi="Times New Roman" w:cs="Times New Roman"/>
          <w:b/>
          <w:color w:val="17365D"/>
          <w:sz w:val="28"/>
          <w:szCs w:val="28"/>
        </w:rPr>
        <w:tab/>
        <w:t xml:space="preserve">             </w:t>
      </w:r>
    </w:p>
    <w:p w14:paraId="3F4BF8A0" w14:textId="77777777" w:rsidR="00A95BCC" w:rsidRDefault="00000000">
      <w:pPr>
        <w:pStyle w:val="Standard"/>
        <w:spacing w:after="0" w:line="240" w:lineRule="auto"/>
        <w:ind w:left="1440" w:firstLine="720"/>
      </w:pPr>
      <w:r>
        <w:rPr>
          <w:rFonts w:ascii="Times New Roman" w:hAnsi="Times New Roman" w:cs="Times New Roman"/>
          <w:b/>
          <w:color w:val="17365D"/>
          <w:sz w:val="28"/>
          <w:szCs w:val="28"/>
        </w:rPr>
        <w:t xml:space="preserve">         E-mail: Celcius60@aol.com</w:t>
      </w:r>
      <w:r>
        <w:rPr>
          <w:rFonts w:ascii="Times New Roman" w:hAnsi="Times New Roman" w:cs="Times New Roman"/>
          <w:b/>
          <w:color w:val="548DD4"/>
          <w:sz w:val="28"/>
          <w:szCs w:val="28"/>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r>
        <w:rPr>
          <w:rFonts w:ascii="Times New Roman" w:hAnsi="Times New Roman" w:cs="Times New Roman"/>
          <w:b/>
          <w:color w:val="548DD4"/>
          <w:sz w:val="24"/>
          <w:szCs w:val="24"/>
        </w:rPr>
        <w:tab/>
      </w:r>
    </w:p>
    <w:p w14:paraId="608DF10F" w14:textId="77777777" w:rsidR="00A95BCC" w:rsidRDefault="00000000">
      <w:pPr>
        <w:pStyle w:val="Standard"/>
      </w:pPr>
      <w:r>
        <w:tab/>
      </w:r>
      <w:r>
        <w:tab/>
      </w:r>
      <w:r>
        <w:tab/>
      </w:r>
      <w:r>
        <w:tab/>
      </w:r>
      <w:r>
        <w:tab/>
      </w:r>
      <w:r>
        <w:tab/>
      </w:r>
      <w:r>
        <w:tab/>
      </w:r>
      <w:r>
        <w:tab/>
      </w:r>
      <w:r>
        <w:tab/>
      </w:r>
      <w:r>
        <w:rPr>
          <w:noProof/>
        </w:rPr>
        <w:drawing>
          <wp:inline distT="0" distB="0" distL="0" distR="0" wp14:anchorId="60386C7C" wp14:editId="6FA6C7BB">
            <wp:extent cx="1074602" cy="997518"/>
            <wp:effectExtent l="0" t="0" r="0" b="0"/>
            <wp:docPr id="983476786" name="Picture 98347678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074602" cy="997518"/>
                    </a:xfrm>
                    <a:prstGeom prst="rect">
                      <a:avLst/>
                    </a:prstGeom>
                    <a:ln>
                      <a:noFill/>
                      <a:prstDash/>
                    </a:ln>
                  </pic:spPr>
                </pic:pic>
              </a:graphicData>
            </a:graphic>
          </wp:inline>
        </w:drawing>
      </w:r>
    </w:p>
    <w:tbl>
      <w:tblPr>
        <w:tblW w:w="2748" w:type="dxa"/>
        <w:tblInd w:w="-108" w:type="dxa"/>
        <w:tblLayout w:type="fixed"/>
        <w:tblCellMar>
          <w:left w:w="10" w:type="dxa"/>
          <w:right w:w="10" w:type="dxa"/>
        </w:tblCellMar>
        <w:tblLook w:val="04A0" w:firstRow="1" w:lastRow="0" w:firstColumn="1" w:lastColumn="0" w:noHBand="0" w:noVBand="1"/>
      </w:tblPr>
      <w:tblGrid>
        <w:gridCol w:w="1709"/>
        <w:gridCol w:w="1039"/>
      </w:tblGrid>
      <w:tr w:rsidR="00A95BCC" w14:paraId="0A261D37" w14:textId="77777777">
        <w:tblPrEx>
          <w:tblCellMar>
            <w:top w:w="0" w:type="dxa"/>
            <w:bottom w:w="0" w:type="dxa"/>
          </w:tblCellMar>
        </w:tblPrEx>
        <w:trPr>
          <w:trHeight w:val="241"/>
        </w:trPr>
        <w:tc>
          <w:tcPr>
            <w:tcW w:w="1708" w:type="dxa"/>
            <w:tcBorders>
              <w:top w:val="single" w:sz="8" w:space="0" w:color="4F81BD"/>
              <w:left w:val="single" w:sz="8" w:space="0" w:color="4F81BD"/>
            </w:tcBorders>
            <w:shd w:val="clear" w:color="auto" w:fill="4F81BD"/>
            <w:tcMar>
              <w:top w:w="0" w:type="dxa"/>
              <w:left w:w="108" w:type="dxa"/>
              <w:bottom w:w="0" w:type="dxa"/>
              <w:right w:w="108" w:type="dxa"/>
            </w:tcMar>
          </w:tcPr>
          <w:p w14:paraId="4065AB9C" w14:textId="77777777" w:rsidR="00A95BCC" w:rsidRDefault="00000000">
            <w:pPr>
              <w:pStyle w:val="Standard"/>
              <w:spacing w:after="0" w:line="240" w:lineRule="auto"/>
              <w:rPr>
                <w:b/>
                <w:bCs/>
              </w:rPr>
            </w:pPr>
            <w:r>
              <w:rPr>
                <w:rFonts w:ascii="Times New Roman" w:hAnsi="Times New Roman" w:cs="Times New Roman"/>
                <w:b/>
                <w:bCs/>
                <w:color w:val="0F243E"/>
                <w:sz w:val="18"/>
                <w:szCs w:val="18"/>
              </w:rPr>
              <w:t xml:space="preserve"> </w:t>
            </w:r>
          </w:p>
        </w:tc>
        <w:tc>
          <w:tcPr>
            <w:tcW w:w="1039" w:type="dxa"/>
            <w:tcBorders>
              <w:top w:val="single" w:sz="8" w:space="0" w:color="4F81BD"/>
              <w:right w:val="single" w:sz="8" w:space="0" w:color="4F81BD"/>
            </w:tcBorders>
            <w:shd w:val="clear" w:color="auto" w:fill="4F81BD"/>
            <w:tcMar>
              <w:top w:w="0" w:type="dxa"/>
              <w:left w:w="108" w:type="dxa"/>
              <w:bottom w:w="0" w:type="dxa"/>
              <w:right w:w="108" w:type="dxa"/>
            </w:tcMar>
          </w:tcPr>
          <w:p w14:paraId="17754D60" w14:textId="77777777" w:rsidR="00A95BCC" w:rsidRDefault="00A95BCC">
            <w:pPr>
              <w:pStyle w:val="Standard"/>
              <w:spacing w:after="0" w:line="240" w:lineRule="auto"/>
              <w:rPr>
                <w:b/>
                <w:bCs/>
                <w:color w:val="FFFFFF"/>
              </w:rPr>
            </w:pPr>
          </w:p>
        </w:tc>
      </w:tr>
      <w:tr w:rsidR="00A95BCC" w14:paraId="063DCE06" w14:textId="77777777">
        <w:tblPrEx>
          <w:tblCellMar>
            <w:top w:w="0" w:type="dxa"/>
            <w:bottom w:w="0" w:type="dxa"/>
          </w:tblCellMar>
        </w:tblPrEx>
        <w:trPr>
          <w:trHeight w:val="948"/>
        </w:trPr>
        <w:tc>
          <w:tcPr>
            <w:tcW w:w="1708" w:type="dxa"/>
            <w:tcBorders>
              <w:top w:val="single" w:sz="8" w:space="0" w:color="4F81BD"/>
              <w:left w:val="single" w:sz="8" w:space="0" w:color="4F81BD"/>
              <w:bottom w:val="single" w:sz="8" w:space="0" w:color="4F81BD"/>
              <w:right w:val="single" w:sz="8" w:space="0" w:color="4F81BD"/>
            </w:tcBorders>
            <w:tcMar>
              <w:top w:w="0" w:type="dxa"/>
              <w:left w:w="108" w:type="dxa"/>
              <w:bottom w:w="0" w:type="dxa"/>
              <w:right w:w="108" w:type="dxa"/>
            </w:tcMar>
          </w:tcPr>
          <w:p w14:paraId="733B8970" w14:textId="77777777" w:rsidR="00A95BCC" w:rsidRDefault="00000000">
            <w:pPr>
              <w:pStyle w:val="Standard"/>
              <w:spacing w:after="0" w:line="240" w:lineRule="auto"/>
              <w:rPr>
                <w:b/>
                <w:bCs/>
              </w:rPr>
            </w:pPr>
            <w:r>
              <w:rPr>
                <w:b/>
                <w:bCs/>
                <w:sz w:val="14"/>
                <w:szCs w:val="14"/>
              </w:rPr>
              <w:t xml:space="preserve"> CMI—Joe BAYNE—fort wadsworth Ny-024-bldg #356—Staten Island N.Y.</w:t>
            </w:r>
          </w:p>
        </w:tc>
        <w:tc>
          <w:tcPr>
            <w:tcW w:w="1039" w:type="dxa"/>
            <w:tcBorders>
              <w:top w:val="single" w:sz="8" w:space="0" w:color="4F81BD"/>
              <w:left w:val="single" w:sz="8" w:space="0" w:color="4F81BD"/>
              <w:bottom w:val="single" w:sz="8" w:space="0" w:color="4F81BD"/>
              <w:right w:val="single" w:sz="8" w:space="0" w:color="4F81BD"/>
            </w:tcBorders>
            <w:tcMar>
              <w:top w:w="0" w:type="dxa"/>
              <w:left w:w="108" w:type="dxa"/>
              <w:bottom w:w="0" w:type="dxa"/>
              <w:right w:w="108" w:type="dxa"/>
            </w:tcMar>
          </w:tcPr>
          <w:p w14:paraId="4E14924F" w14:textId="77777777" w:rsidR="00A95BCC" w:rsidRDefault="00A95BCC">
            <w:pPr>
              <w:pStyle w:val="Standard"/>
              <w:spacing w:after="0" w:line="240" w:lineRule="auto"/>
            </w:pPr>
          </w:p>
        </w:tc>
      </w:tr>
    </w:tbl>
    <w:p w14:paraId="0C15702F" w14:textId="77777777" w:rsidR="00A95BCC" w:rsidRDefault="00000000">
      <w:pPr>
        <w:pStyle w:val="Standard"/>
      </w:pPr>
      <w:r>
        <w:tab/>
      </w:r>
      <w:r>
        <w:tab/>
      </w:r>
      <w:r>
        <w:tab/>
      </w:r>
      <w:r>
        <w:tab/>
      </w:r>
      <w:r>
        <w:tab/>
      </w:r>
    </w:p>
    <w:p w14:paraId="2D7D70CD" w14:textId="77777777" w:rsidR="00A95BCC" w:rsidRDefault="00000000">
      <w:pPr>
        <w:pStyle w:val="Standard"/>
      </w:pPr>
      <w:r>
        <w:t xml:space="preserve">      This proposal will be the next phase for CSS#--91366--WO#--20601</w:t>
      </w:r>
    </w:p>
    <w:tbl>
      <w:tblPr>
        <w:tblW w:w="10473" w:type="dxa"/>
        <w:tblInd w:w="-108" w:type="dxa"/>
        <w:tblLayout w:type="fixed"/>
        <w:tblCellMar>
          <w:left w:w="10" w:type="dxa"/>
          <w:right w:w="10" w:type="dxa"/>
        </w:tblCellMar>
        <w:tblLook w:val="04A0" w:firstRow="1" w:lastRow="0" w:firstColumn="1" w:lastColumn="0" w:noHBand="0" w:noVBand="1"/>
      </w:tblPr>
      <w:tblGrid>
        <w:gridCol w:w="10237"/>
        <w:gridCol w:w="236"/>
      </w:tblGrid>
      <w:tr w:rsidR="00A95BCC" w14:paraId="5526F270" w14:textId="77777777">
        <w:tblPrEx>
          <w:tblCellMar>
            <w:top w:w="0" w:type="dxa"/>
            <w:bottom w:w="0" w:type="dxa"/>
          </w:tblCellMar>
        </w:tblPrEx>
        <w:trPr>
          <w:trHeight w:val="489"/>
        </w:trPr>
        <w:tc>
          <w:tcPr>
            <w:tcW w:w="1023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05D2504" w14:textId="77777777" w:rsidR="00A95BCC" w:rsidRDefault="00000000">
            <w:pPr>
              <w:pStyle w:val="Standard"/>
              <w:spacing w:after="0" w:line="240" w:lineRule="auto"/>
            </w:pPr>
            <w:r>
              <w:rPr>
                <w:b/>
                <w:sz w:val="28"/>
                <w:szCs w:val="28"/>
              </w:rPr>
              <w:t xml:space="preserve"> </w:t>
            </w:r>
            <w:r>
              <w:rPr>
                <w:sz w:val="28"/>
                <w:szCs w:val="28"/>
              </w:rPr>
              <w:t xml:space="preserve">                  </w:t>
            </w:r>
            <w:r>
              <w:rPr>
                <w:b/>
                <w:color w:val="244061"/>
                <w:sz w:val="28"/>
                <w:szCs w:val="28"/>
              </w:rPr>
              <w:t xml:space="preserve">                                  Jo</w:t>
            </w:r>
            <w:r>
              <w:rPr>
                <w:rFonts w:ascii="Times New Roman" w:hAnsi="Times New Roman" w:cs="Times New Roman"/>
                <w:b/>
                <w:color w:val="244061"/>
                <w:sz w:val="28"/>
                <w:szCs w:val="28"/>
              </w:rPr>
              <w:t>b Description</w:t>
            </w:r>
          </w:p>
        </w:tc>
        <w:tc>
          <w:tcPr>
            <w:tcW w:w="236" w:type="dxa"/>
            <w:tcBorders>
              <w:top w:val="single" w:sz="4" w:space="0" w:color="00000A"/>
              <w:left w:val="single" w:sz="4" w:space="0" w:color="00000A"/>
              <w:bottom w:val="single" w:sz="4" w:space="0" w:color="00000A"/>
              <w:right w:val="single" w:sz="4" w:space="0" w:color="00000A"/>
            </w:tcBorders>
            <w:shd w:val="clear" w:color="auto" w:fill="365F91"/>
            <w:tcMar>
              <w:top w:w="0" w:type="dxa"/>
              <w:left w:w="108" w:type="dxa"/>
              <w:bottom w:w="0" w:type="dxa"/>
              <w:right w:w="108" w:type="dxa"/>
            </w:tcMar>
          </w:tcPr>
          <w:p w14:paraId="5061DB4D" w14:textId="77777777" w:rsidR="00A95BCC" w:rsidRDefault="00000000">
            <w:pPr>
              <w:pStyle w:val="Standard"/>
              <w:spacing w:after="0" w:line="240" w:lineRule="auto"/>
            </w:pPr>
            <w:r>
              <w:rPr>
                <w:b/>
                <w:color w:val="244061"/>
              </w:rPr>
              <w:t xml:space="preserve"> </w:t>
            </w:r>
          </w:p>
        </w:tc>
      </w:tr>
      <w:tr w:rsidR="00A95BCC" w14:paraId="3E94E8A6" w14:textId="77777777">
        <w:tblPrEx>
          <w:tblCellMar>
            <w:top w:w="0" w:type="dxa"/>
            <w:bottom w:w="0" w:type="dxa"/>
          </w:tblCellMar>
        </w:tblPrEx>
        <w:trPr>
          <w:trHeight w:val="5240"/>
        </w:trPr>
        <w:tc>
          <w:tcPr>
            <w:tcW w:w="1023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22F87E1" w14:textId="77777777" w:rsidR="00A95BCC" w:rsidRDefault="00000000">
            <w:pPr>
              <w:pStyle w:val="Standard"/>
              <w:spacing w:after="0" w:line="240" w:lineRule="auto"/>
            </w:pPr>
            <w:r>
              <w:rPr>
                <w:rFonts w:ascii="Times New Roman" w:hAnsi="Times New Roman" w:cs="Times New Roman"/>
                <w:color w:val="244061"/>
              </w:rPr>
              <w:t xml:space="preserve"> This proposal is for prevention of coils freezing and rupturing due to power failures when outside air dampers are open during cold outside tempertures causing stagnation of water in heating coil. There are provisions to install glycol to heating system this will require pumping in 50 gallons of glycol into main heating system located in mechanical room on lower level filling up both Triumph condensing boiler as well as verticle type Triad boiler, time will be spent draining entire heating system for all heating coils, pumping in 50 gallons of glycol into entire heating system, removing all air out of entire system to put system back into safe operation. This work should be performed when heating system is no longer needed either before cooling season or before heating system starts. Materials needed---------50gallons--of non toxic antifreeze---Krytech--------$1,589.78----Labor 3days—1- mechanic ----1-helper ------$3,600------Total cost--$5189.78</w:t>
            </w:r>
          </w:p>
        </w:tc>
        <w:tc>
          <w:tcPr>
            <w:tcW w:w="236" w:type="dxa"/>
            <w:tcBorders>
              <w:top w:val="single" w:sz="4" w:space="0" w:color="00000A"/>
              <w:left w:val="single" w:sz="4" w:space="0" w:color="00000A"/>
              <w:bottom w:val="single" w:sz="4" w:space="0" w:color="00000A"/>
              <w:right w:val="single" w:sz="4" w:space="0" w:color="00000A"/>
            </w:tcBorders>
            <w:shd w:val="clear" w:color="auto" w:fill="365F91"/>
            <w:tcMar>
              <w:top w:w="0" w:type="dxa"/>
              <w:left w:w="108" w:type="dxa"/>
              <w:bottom w:w="0" w:type="dxa"/>
              <w:right w:w="108" w:type="dxa"/>
            </w:tcMar>
          </w:tcPr>
          <w:p w14:paraId="047CB0BD" w14:textId="77777777" w:rsidR="00A95BCC" w:rsidRDefault="00A95BCC">
            <w:pPr>
              <w:pStyle w:val="Standard"/>
              <w:spacing w:after="0" w:line="240" w:lineRule="auto"/>
              <w:rPr>
                <w:color w:val="244061"/>
              </w:rPr>
            </w:pPr>
          </w:p>
        </w:tc>
      </w:tr>
      <w:tr w:rsidR="00A95BCC" w14:paraId="2091FDDD" w14:textId="77777777">
        <w:tblPrEx>
          <w:tblCellMar>
            <w:top w:w="0" w:type="dxa"/>
            <w:bottom w:w="0" w:type="dxa"/>
          </w:tblCellMar>
        </w:tblPrEx>
        <w:trPr>
          <w:trHeight w:val="53"/>
        </w:trPr>
        <w:tc>
          <w:tcPr>
            <w:tcW w:w="1023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1AE05AA" w14:textId="77777777" w:rsidR="00A95BCC" w:rsidRDefault="00A95BCC">
            <w:pPr>
              <w:pStyle w:val="Standard"/>
              <w:spacing w:after="0" w:line="240" w:lineRule="auto"/>
              <w:rPr>
                <w:color w:val="244061"/>
              </w:rPr>
            </w:pPr>
          </w:p>
        </w:tc>
        <w:tc>
          <w:tcPr>
            <w:tcW w:w="236" w:type="dxa"/>
            <w:tcBorders>
              <w:top w:val="single" w:sz="4" w:space="0" w:color="00000A"/>
              <w:left w:val="single" w:sz="4" w:space="0" w:color="00000A"/>
              <w:bottom w:val="single" w:sz="4" w:space="0" w:color="00000A"/>
              <w:right w:val="single" w:sz="4" w:space="0" w:color="00000A"/>
            </w:tcBorders>
            <w:shd w:val="clear" w:color="auto" w:fill="365F91"/>
            <w:tcMar>
              <w:top w:w="0" w:type="dxa"/>
              <w:left w:w="108" w:type="dxa"/>
              <w:bottom w:w="0" w:type="dxa"/>
              <w:right w:w="108" w:type="dxa"/>
            </w:tcMar>
          </w:tcPr>
          <w:p w14:paraId="3C1C3109" w14:textId="77777777" w:rsidR="00A95BCC" w:rsidRDefault="00A95BCC">
            <w:pPr>
              <w:pStyle w:val="Standard"/>
              <w:spacing w:after="0" w:line="240" w:lineRule="auto"/>
              <w:rPr>
                <w:b/>
                <w:color w:val="244061"/>
              </w:rPr>
            </w:pPr>
          </w:p>
        </w:tc>
      </w:tr>
    </w:tbl>
    <w:p w14:paraId="1BC4C7BA" w14:textId="77777777" w:rsidR="00A95BCC" w:rsidRDefault="00A95BCC">
      <w:pPr>
        <w:pStyle w:val="Standard"/>
      </w:pPr>
    </w:p>
    <w:sectPr w:rsidR="00A95BCC">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72CB7C" w14:textId="77777777" w:rsidR="004566EF" w:rsidRDefault="004566EF">
      <w:pPr>
        <w:spacing w:after="0" w:line="240" w:lineRule="auto"/>
      </w:pPr>
      <w:r>
        <w:separator/>
      </w:r>
    </w:p>
  </w:endnote>
  <w:endnote w:type="continuationSeparator" w:id="0">
    <w:p w14:paraId="01F1BD0D" w14:textId="77777777" w:rsidR="004566EF" w:rsidRDefault="004566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566184" w14:textId="77777777" w:rsidR="004566EF" w:rsidRDefault="004566EF">
      <w:pPr>
        <w:spacing w:after="0" w:line="240" w:lineRule="auto"/>
      </w:pPr>
      <w:r>
        <w:rPr>
          <w:color w:val="000000"/>
        </w:rPr>
        <w:separator/>
      </w:r>
    </w:p>
  </w:footnote>
  <w:footnote w:type="continuationSeparator" w:id="0">
    <w:p w14:paraId="3F94E35D" w14:textId="77777777" w:rsidR="004566EF" w:rsidRDefault="004566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F86778"/>
    <w:multiLevelType w:val="multilevel"/>
    <w:tmpl w:val="8BB891E8"/>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6B206CA1"/>
    <w:multiLevelType w:val="multilevel"/>
    <w:tmpl w:val="72327786"/>
    <w:styleLink w:val="WWNum3"/>
    <w:lvl w:ilvl="0">
      <w:start w:val="1"/>
      <w:numFmt w:val="decimal"/>
      <w:lvlText w:val="%1-"/>
      <w:lvlJc w:val="left"/>
      <w:pPr>
        <w:ind w:left="705" w:hanging="360"/>
      </w:pPr>
    </w:lvl>
    <w:lvl w:ilvl="1">
      <w:start w:val="1"/>
      <w:numFmt w:val="lowerLetter"/>
      <w:lvlText w:val="%2."/>
      <w:lvlJc w:val="left"/>
      <w:pPr>
        <w:ind w:left="1425" w:hanging="360"/>
      </w:pPr>
    </w:lvl>
    <w:lvl w:ilvl="2">
      <w:start w:val="1"/>
      <w:numFmt w:val="lowerRoman"/>
      <w:lvlText w:val="%1.%2.%3."/>
      <w:lvlJc w:val="right"/>
      <w:pPr>
        <w:ind w:left="2145" w:hanging="180"/>
      </w:pPr>
    </w:lvl>
    <w:lvl w:ilvl="3">
      <w:start w:val="1"/>
      <w:numFmt w:val="decimal"/>
      <w:lvlText w:val="%1.%2.%3.%4."/>
      <w:lvlJc w:val="left"/>
      <w:pPr>
        <w:ind w:left="2865" w:hanging="360"/>
      </w:pPr>
    </w:lvl>
    <w:lvl w:ilvl="4">
      <w:start w:val="1"/>
      <w:numFmt w:val="lowerLetter"/>
      <w:lvlText w:val="%1.%2.%3.%4.%5."/>
      <w:lvlJc w:val="left"/>
      <w:pPr>
        <w:ind w:left="3585" w:hanging="360"/>
      </w:pPr>
    </w:lvl>
    <w:lvl w:ilvl="5">
      <w:start w:val="1"/>
      <w:numFmt w:val="lowerRoman"/>
      <w:lvlText w:val="%1.%2.%3.%4.%5.%6."/>
      <w:lvlJc w:val="right"/>
      <w:pPr>
        <w:ind w:left="4305" w:hanging="180"/>
      </w:pPr>
    </w:lvl>
    <w:lvl w:ilvl="6">
      <w:start w:val="1"/>
      <w:numFmt w:val="decimal"/>
      <w:lvlText w:val="%1.%2.%3.%4.%5.%6.%7."/>
      <w:lvlJc w:val="left"/>
      <w:pPr>
        <w:ind w:left="5025" w:hanging="360"/>
      </w:pPr>
    </w:lvl>
    <w:lvl w:ilvl="7">
      <w:start w:val="1"/>
      <w:numFmt w:val="lowerLetter"/>
      <w:lvlText w:val="%1.%2.%3.%4.%5.%6.%7.%8."/>
      <w:lvlJc w:val="left"/>
      <w:pPr>
        <w:ind w:left="5745" w:hanging="360"/>
      </w:pPr>
    </w:lvl>
    <w:lvl w:ilvl="8">
      <w:start w:val="1"/>
      <w:numFmt w:val="lowerRoman"/>
      <w:lvlText w:val="%1.%2.%3.%4.%5.%6.%7.%8.%9."/>
      <w:lvlJc w:val="right"/>
      <w:pPr>
        <w:ind w:left="6465" w:hanging="180"/>
      </w:pPr>
    </w:lvl>
  </w:abstractNum>
  <w:abstractNum w:abstractNumId="2" w15:restartNumberingAfterBreak="0">
    <w:nsid w:val="7B95472B"/>
    <w:multiLevelType w:val="multilevel"/>
    <w:tmpl w:val="EEDE68D4"/>
    <w:styleLink w:val="WWNu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16cid:durableId="2018803674">
    <w:abstractNumId w:val="2"/>
  </w:num>
  <w:num w:numId="2" w16cid:durableId="2059083139">
    <w:abstractNumId w:val="0"/>
  </w:num>
  <w:num w:numId="3" w16cid:durableId="19110394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A95BCC"/>
    <w:rsid w:val="004566EF"/>
    <w:rsid w:val="00582FA5"/>
    <w:rsid w:val="00A95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5405D"/>
  <w15:docId w15:val="{5028BBB0-1BF6-44B5-BA70-903F45B54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F"/>
        <w:kern w:val="3"/>
        <w:sz w:val="22"/>
        <w:szCs w:val="22"/>
        <w:lang w:val="en-US" w:eastAsia="en-US" w:bidi="ar-SA"/>
      </w:rPr>
    </w:rPrDefault>
    <w:pPrDefault>
      <w:pPr>
        <w:widowControl w:val="0"/>
        <w:suppressAutoHyphens/>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rPr>
  </w:style>
  <w:style w:type="paragraph" w:styleId="BalloonText">
    <w:name w:val="Balloon Text"/>
    <w:basedOn w:val="Standard"/>
    <w:pPr>
      <w:spacing w:after="0" w:line="240" w:lineRule="auto"/>
    </w:pPr>
    <w:rPr>
      <w:rFonts w:ascii="Tahoma" w:hAnsi="Tahoma" w:cs="Tahoma"/>
      <w:sz w:val="16"/>
      <w:szCs w:val="16"/>
    </w:rPr>
  </w:style>
  <w:style w:type="paragraph" w:styleId="ListParagraph">
    <w:name w:val="List Paragraph"/>
    <w:basedOn w:val="Standard"/>
    <w:pPr>
      <w:ind w:left="720"/>
    </w:pPr>
  </w:style>
  <w:style w:type="character" w:customStyle="1" w:styleId="BalloonTextChar">
    <w:name w:val="Balloon Text Char"/>
    <w:basedOn w:val="DefaultParagraphFont"/>
    <w:rPr>
      <w:rFonts w:ascii="Tahoma" w:hAnsi="Tahoma" w:cs="Tahoma"/>
      <w:sz w:val="16"/>
      <w:szCs w:val="16"/>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213</Words>
  <Characters>1217</Characters>
  <Application>Microsoft Office Word</Application>
  <DocSecurity>0</DocSecurity>
  <Lines>10</Lines>
  <Paragraphs>2</Paragraphs>
  <ScaleCrop>false</ScaleCrop>
  <Company/>
  <LinksUpToDate>false</LinksUpToDate>
  <CharactersWithSpaces>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Donna Marie</dc:creator>
  <cp:lastModifiedBy>jerry duran</cp:lastModifiedBy>
  <cp:revision>2</cp:revision>
  <cp:lastPrinted>2014-05-24T02:19:00Z</cp:lastPrinted>
  <dcterms:created xsi:type="dcterms:W3CDTF">2023-08-10T15:38:00Z</dcterms:created>
  <dcterms:modified xsi:type="dcterms:W3CDTF">2023-08-10T15:38:00Z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