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37640" w14:textId="7F81AD8B" w:rsidR="00F67C1C" w:rsidRDefault="003C2053">
      <w:r w:rsidRPr="003C2053">
        <w:rPr>
          <w:noProof/>
        </w:rPr>
        <w:drawing>
          <wp:inline distT="0" distB="0" distL="0" distR="0" wp14:anchorId="098E0030" wp14:editId="02D070B1">
            <wp:extent cx="5943600" cy="8014970"/>
            <wp:effectExtent l="0" t="0" r="0" b="5080"/>
            <wp:docPr id="554769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7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053"/>
    <w:rsid w:val="003C2053"/>
    <w:rsid w:val="00F6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CF0D2"/>
  <w15:chartTrackingRefBased/>
  <w15:docId w15:val="{F6B142F0-0ED2-4F00-8FBF-25A06C4A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Army Golden Master Program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CIV USARMY 99 RD (USA)</dc:creator>
  <cp:keywords/>
  <dc:description/>
  <cp:lastModifiedBy>Kawski, Scott W CIV USARMY 99 RD (USA)</cp:lastModifiedBy>
  <cp:revision>1</cp:revision>
  <dcterms:created xsi:type="dcterms:W3CDTF">2024-03-25T15:00:00Z</dcterms:created>
  <dcterms:modified xsi:type="dcterms:W3CDTF">2024-03-25T15:00:00Z</dcterms:modified>
</cp:coreProperties>
</file>